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剑阁县人民法院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7700"/>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bookmarkStart w:id="26" w:name="_GoBack"/>
          <w:bookmarkEnd w:id="26"/>
          <w:r>
            <w:rPr>
              <w:rFonts w:ascii="宋体" w:hAnsi="宋体" w:eastAsia="宋体"/>
              <w:sz w:val="21"/>
            </w:rPr>
            <w:t>目录</w:t>
          </w:r>
        </w:p>
        <w:p>
          <w:pPr>
            <w:pStyle w:val="16"/>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_Toc3177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_Toc3177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_Toc19879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剑阁县人民法院</w:t>
          </w:r>
          <w:r>
            <w:rPr>
              <w:rFonts w:hint="eastAsia" w:ascii="楷体_GB2312" w:hAnsi="楷体_GB2312" w:eastAsia="楷体_GB2312" w:cs="楷体_GB2312"/>
              <w:szCs w:val="32"/>
            </w:rPr>
            <w:t>职能简介</w:t>
          </w:r>
          <w:r>
            <w:tab/>
          </w:r>
          <w:r>
            <w:fldChar w:fldCharType="begin"/>
          </w:r>
          <w:r>
            <w:instrText xml:space="preserve"> PAGEREF _Toc19879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_Toc9121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剑阁县人民法院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_Toc9121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_Toc26113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_Toc26113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_Toc23973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_Toc23973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_Toc22369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_Toc22369 \h </w:instrText>
          </w:r>
          <w:r>
            <w:fldChar w:fldCharType="separate"/>
          </w:r>
          <w:r>
            <w:t>5</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_Toc12643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_Toc12643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_Toc21035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_Toc21035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_Toc5660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_Toc5660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_Toc32606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_Toc32606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_Toc27787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_Toc27787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_Toc4506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_Toc4506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_Toc26199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_Toc26199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_Toc16205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_Toc16205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_Toc1560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_Toc1560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_Toc30498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_Toc30498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_Toc25713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_Toc25713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_Toc26932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_Toc26932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_Toc2827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_Toc2827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_Toc4754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_Toc4754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_Toc31875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_Toc31875 \h </w:instrText>
          </w:r>
          <w:r>
            <w:fldChar w:fldCharType="separate"/>
          </w:r>
          <w:r>
            <w:t>9</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_Toc9745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_Toc9745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_Toc30839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_Toc30839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_Toc17537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_Toc17537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_Toc17759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_Toc17759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177"/>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9879"/>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剑阁县人民法院</w:t>
      </w:r>
      <w:r>
        <w:rPr>
          <w:rFonts w:hint="eastAsia" w:ascii="楷体_GB2312" w:hAnsi="楷体_GB2312" w:eastAsia="楷体_GB2312" w:cs="楷体_GB2312"/>
          <w:sz w:val="32"/>
          <w:szCs w:val="32"/>
        </w:rPr>
        <w:t>职能简介</w:t>
      </w:r>
      <w:bookmarkEnd w:id="1"/>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剑阁县人民法院是国家审判机关，对剑阁县人民代表大会及其常务委员会负责并报告工作</w:t>
      </w:r>
      <w:r>
        <w:rPr>
          <w:rFonts w:hint="eastAsia" w:ascii="仿宋_GB2312" w:eastAsia="仿宋_GB2312"/>
          <w:sz w:val="32"/>
          <w:szCs w:val="32"/>
          <w:lang w:eastAsia="zh-CN"/>
        </w:rPr>
        <w:t>，</w:t>
      </w:r>
      <w:r>
        <w:rPr>
          <w:rFonts w:hint="eastAsia" w:ascii="仿宋_GB2312" w:eastAsia="仿宋_GB2312"/>
          <w:sz w:val="32"/>
          <w:szCs w:val="32"/>
        </w:rPr>
        <w:t>其主要职</w:t>
      </w:r>
      <w:r>
        <w:rPr>
          <w:rFonts w:hint="eastAsia" w:ascii="仿宋_GB2312" w:eastAsia="仿宋_GB2312"/>
          <w:sz w:val="32"/>
          <w:szCs w:val="32"/>
          <w:lang w:eastAsia="zh-CN"/>
        </w:rPr>
        <w:t>能</w:t>
      </w:r>
      <w:r>
        <w:rPr>
          <w:rFonts w:hint="eastAsia" w:ascii="仿宋_GB2312" w:eastAsia="仿宋_GB2312"/>
          <w:sz w:val="32"/>
          <w:szCs w:val="32"/>
        </w:rPr>
        <w:t>是：</w:t>
      </w:r>
    </w:p>
    <w:p>
      <w:pPr>
        <w:shd w:val="clear"/>
        <w:spacing w:line="560" w:lineRule="exact"/>
        <w:ind w:firstLine="640" w:firstLineChars="200"/>
        <w:rPr>
          <w:rFonts w:hint="eastAsia" w:ascii="仿宋_GB2312" w:hAnsi="MingLiU_HKSCS" w:eastAsia="仿宋_GB2312" w:cs="MingLiU_HKSCS"/>
          <w:sz w:val="32"/>
          <w:szCs w:val="32"/>
        </w:rPr>
      </w:pPr>
      <w:r>
        <w:rPr>
          <w:rFonts w:hint="eastAsia" w:ascii="仿宋_GB2312" w:eastAsia="仿宋_GB2312"/>
          <w:sz w:val="32"/>
          <w:szCs w:val="32"/>
        </w:rPr>
        <w:t>1、依法审判法律规定由基层人民法院管辖的刑事、民事、行政等一审案件。</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2、审理上级人民法院指令再审和本院按审判监督程序进行再审的案件以及本院管辖的各类申诉案件。</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3、依法审判二审法院发回重审和本院管辖的由人民检察院提出的抗诉案件。</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4、依法审判上级法院指令管辖的各类案件。</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5、负责管理全县各人民法庭的审判工作。</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6、依法行使司法执行权和司法决定权。</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7、对案件审理中发现的问题提出司法建议。</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8、对本院的法官和其他工作人员进行思想教育，组织专业培训</w:t>
      </w:r>
      <w:r>
        <w:rPr>
          <w:rFonts w:hint="eastAsia" w:ascii="仿宋_GB2312" w:eastAsia="仿宋_GB2312"/>
          <w:sz w:val="32"/>
          <w:szCs w:val="32"/>
          <w:lang w:eastAsia="zh-CN"/>
        </w:rPr>
        <w:t>；</w:t>
      </w:r>
      <w:r>
        <w:rPr>
          <w:rFonts w:hint="eastAsia" w:ascii="仿宋_GB2312" w:eastAsia="仿宋_GB2312"/>
          <w:sz w:val="32"/>
          <w:szCs w:val="32"/>
        </w:rPr>
        <w:t>按规定管理应属于本院管理的人员和业务。</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9、管理本院的有关经费和各类物资装备。</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10、通过审判工作宣传法制，教育公民忠于社会主义祖国、自觉遵守宪法、法律和社会公德。参与社会治安综合治理工作。</w:t>
      </w:r>
    </w:p>
    <w:p>
      <w:pPr>
        <w:shd w:val="clea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11、负责本院监察工作。</w:t>
      </w:r>
    </w:p>
    <w:p>
      <w:pPr>
        <w:shd w:val="clear"/>
        <w:spacing w:line="560" w:lineRule="exact"/>
        <w:ind w:firstLine="640" w:firstLineChars="200"/>
        <w:rPr>
          <w:rFonts w:hint="eastAsia" w:ascii="楷体_GB2312" w:hAnsi="楷体_GB2312" w:eastAsia="楷体_GB2312" w:cs="楷体_GB2312"/>
          <w:sz w:val="32"/>
          <w:szCs w:val="32"/>
        </w:rPr>
      </w:pPr>
      <w:r>
        <w:rPr>
          <w:rFonts w:hint="eastAsia" w:ascii="仿宋_GB2312" w:eastAsia="仿宋_GB2312"/>
          <w:sz w:val="32"/>
          <w:szCs w:val="32"/>
        </w:rPr>
        <w:t>12、承办其他应由本院负责的工作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9121"/>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剑阁县人民法院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pStyle w:val="15"/>
        <w:keepNext w:val="0"/>
        <w:keepLines w:val="0"/>
        <w:pageBreakBefore w:val="0"/>
        <w:widowControl w:val="0"/>
        <w:shd w:val="clear"/>
        <w:kinsoku/>
        <w:wordWrap/>
        <w:overflowPunct w:val="0"/>
        <w:topLinePunct w:val="0"/>
        <w:bidi w:val="0"/>
        <w:snapToGrid/>
        <w:spacing w:line="576" w:lineRule="exact"/>
        <w:ind w:firstLine="640" w:firstLineChars="200"/>
        <w:jc w:val="both"/>
        <w:textAlignment w:val="auto"/>
        <w:rPr>
          <w:rFonts w:hint="eastAsia" w:ascii="仿宋_GB2312" w:eastAsia="仿宋_GB2312"/>
          <w:b w:val="0"/>
          <w:bCs w:val="0"/>
          <w:sz w:val="32"/>
          <w:szCs w:val="32"/>
        </w:rPr>
      </w:pPr>
      <w:r>
        <w:rPr>
          <w:rFonts w:hint="eastAsia" w:ascii="楷体_GB2312" w:eastAsia="楷体_GB2312"/>
          <w:b w:val="0"/>
          <w:bCs w:val="0"/>
          <w:sz w:val="32"/>
          <w:szCs w:val="32"/>
          <w:lang w:val="en-US" w:eastAsia="zh-CN"/>
        </w:rPr>
        <w:t>1、</w:t>
      </w:r>
      <w:r>
        <w:rPr>
          <w:rFonts w:hint="eastAsia" w:ascii="楷体_GB2312" w:hAnsi="楷体_GB2312" w:eastAsia="楷体_GB2312" w:cs="楷体_GB2312"/>
          <w:bCs/>
          <w:sz w:val="32"/>
          <w:szCs w:val="32"/>
        </w:rPr>
        <w:t>坚定信仰，毫不动摇坚持正确政治方向。</w:t>
      </w:r>
      <w:r>
        <w:rPr>
          <w:rFonts w:hint="eastAsia" w:ascii="仿宋_GB2312" w:hAnsi="仿宋" w:eastAsia="仿宋_GB2312" w:cs="宋体"/>
          <w:sz w:val="32"/>
          <w:szCs w:val="32"/>
        </w:rPr>
        <w:t>始终牢记法院是政治机关，用实际行动践行“两个维护”。坚持以思想建设强化政治建设，利用“周三夜学”“三会一课”，持续抓好主题教育，将主题教育与学习贯彻党的二十大精神、与习近平总书记来川来广视察重要指示精神有效结合，推进学习成果转化。坚持重大事项请示报告，定期向县委报告重大事项、重要工作，坚决服从县委统筹调度，坚持把党的领导和党的建设贯穿人民法院工作全过程。</w:t>
      </w:r>
    </w:p>
    <w:p>
      <w:pPr>
        <w:pStyle w:val="15"/>
        <w:keepNext w:val="0"/>
        <w:keepLines w:val="0"/>
        <w:pageBreakBefore w:val="0"/>
        <w:widowControl w:val="0"/>
        <w:shd w:val="clear"/>
        <w:kinsoku/>
        <w:wordWrap/>
        <w:overflowPunct w:val="0"/>
        <w:topLinePunct w:val="0"/>
        <w:bidi w:val="0"/>
        <w:snapToGrid/>
        <w:spacing w:line="576" w:lineRule="exact"/>
        <w:ind w:firstLine="640" w:firstLineChars="200"/>
        <w:jc w:val="both"/>
        <w:textAlignment w:val="auto"/>
        <w:rPr>
          <w:rFonts w:hint="eastAsia" w:ascii="仿宋_GB2312" w:hAnsi="仿宋" w:eastAsia="仿宋_GB2312" w:cs="宋体"/>
          <w:sz w:val="32"/>
          <w:szCs w:val="32"/>
          <w:lang w:eastAsia="zh-CN"/>
        </w:rPr>
      </w:pPr>
      <w:r>
        <w:rPr>
          <w:rFonts w:hint="eastAsia" w:ascii="楷体_GB2312" w:eastAsia="楷体_GB2312"/>
          <w:b w:val="0"/>
          <w:bCs w:val="0"/>
          <w:sz w:val="32"/>
          <w:szCs w:val="32"/>
          <w:lang w:val="en-US" w:eastAsia="zh-CN"/>
        </w:rPr>
        <w:t>2、</w:t>
      </w:r>
      <w:r>
        <w:rPr>
          <w:rFonts w:hint="eastAsia" w:ascii="楷体_GB2312" w:hAnsi="楷体_GB2312" w:eastAsia="楷体_GB2312" w:cs="楷体_GB2312"/>
          <w:bCs/>
          <w:sz w:val="32"/>
          <w:szCs w:val="32"/>
        </w:rPr>
        <w:t>主动作为，持之以恒保障高质量发展。</w:t>
      </w:r>
      <w:r>
        <w:rPr>
          <w:rFonts w:hint="eastAsia" w:ascii="仿宋_GB2312" w:hAnsi="仿宋" w:eastAsia="仿宋_GB2312" w:cs="宋体"/>
          <w:sz w:val="32"/>
          <w:szCs w:val="32"/>
        </w:rPr>
        <w:t>自觉在大局中定位司法、谋划司法、推进司法。深入推进平安建设、法治建设，坚决打击各类犯罪，切实提高重大风险防范能力，营造安全稳定的政治环境；持续优化营商环境，围绕全县“拼经济搞建设”，发挥金融、破产等民商事审判职能作用，重点做好党委政府关心关注的新</w:t>
      </w:r>
      <w:r>
        <w:rPr>
          <w:rFonts w:hint="eastAsia" w:ascii="仿宋_GB2312" w:hAnsi="仿宋" w:eastAsia="仿宋_GB2312" w:cs="宋体"/>
          <w:sz w:val="32"/>
          <w:szCs w:val="32"/>
          <w:lang w:eastAsia="zh-CN"/>
        </w:rPr>
        <w:t>能源</w:t>
      </w:r>
      <w:r>
        <w:rPr>
          <w:rFonts w:hint="eastAsia" w:ascii="仿宋_GB2312" w:hAnsi="仿宋" w:eastAsia="仿宋_GB2312" w:cs="宋体"/>
          <w:sz w:val="32"/>
          <w:szCs w:val="32"/>
        </w:rPr>
        <w:t>新材料、剑兴锂电池破产案件的后续审理、资产处理工作；持续发挥法治护航绿色发展的作用，重点围绕古柏保护，持续发挥“驿道古柏保护司法服务站”作用，不断探索环境保护司法新路径。</w:t>
      </w:r>
    </w:p>
    <w:p>
      <w:pPr>
        <w:pStyle w:val="15"/>
        <w:keepNext w:val="0"/>
        <w:keepLines w:val="0"/>
        <w:pageBreakBefore w:val="0"/>
        <w:widowControl w:val="0"/>
        <w:shd w:val="clear"/>
        <w:kinsoku/>
        <w:wordWrap/>
        <w:overflowPunct w:val="0"/>
        <w:topLinePunct w:val="0"/>
        <w:bidi w:val="0"/>
        <w:snapToGrid/>
        <w:spacing w:line="576" w:lineRule="exact"/>
        <w:ind w:firstLine="640" w:firstLineChars="200"/>
        <w:jc w:val="both"/>
        <w:textAlignment w:val="auto"/>
        <w:rPr>
          <w:rFonts w:hint="eastAsia" w:ascii="仿宋_GB2312" w:eastAsia="仿宋_GB2312"/>
          <w:b w:val="0"/>
          <w:bCs w:val="0"/>
          <w:sz w:val="32"/>
          <w:szCs w:val="32"/>
        </w:rPr>
      </w:pPr>
      <w:r>
        <w:rPr>
          <w:rFonts w:hint="eastAsia" w:ascii="楷体_GB2312" w:eastAsia="楷体_GB2312"/>
          <w:b w:val="0"/>
          <w:bCs w:val="0"/>
          <w:sz w:val="32"/>
          <w:szCs w:val="32"/>
          <w:lang w:val="en-US" w:eastAsia="zh-CN"/>
        </w:rPr>
        <w:t>3、</w:t>
      </w:r>
      <w:r>
        <w:rPr>
          <w:rFonts w:hint="eastAsia" w:ascii="楷体_GB2312" w:hAnsi="楷体_GB2312" w:eastAsia="楷体_GB2312" w:cs="楷体_GB2312"/>
          <w:bCs/>
          <w:color w:val="auto"/>
          <w:kern w:val="2"/>
          <w:sz w:val="32"/>
          <w:szCs w:val="32"/>
        </w:rPr>
        <w:t>赓续初心，始终如一站稳人民立场。</w:t>
      </w:r>
      <w:r>
        <w:rPr>
          <w:rFonts w:hint="eastAsia" w:ascii="仿宋_GB2312" w:hAnsi="仿宋" w:eastAsia="仿宋_GB2312" w:cs="宋体"/>
          <w:sz w:val="32"/>
          <w:szCs w:val="32"/>
        </w:rPr>
        <w:t>顺应人民期盼，坚持公平和效率齐抓，纵深推进三大审判与执行工作。大力开展“枫桥式法庭”建设，充分发挥“郭兴利工作室”作用，开展巡回审判、法治宣讲，</w:t>
      </w:r>
      <w:r>
        <w:rPr>
          <w:rFonts w:hint="eastAsia" w:ascii="仿宋_GB2312" w:hAnsi="仿宋" w:eastAsia="仿宋_GB2312" w:cs="宋体"/>
          <w:sz w:val="32"/>
          <w:szCs w:val="32"/>
          <w:lang w:eastAsia="zh-CN"/>
        </w:rPr>
        <w:t>积极</w:t>
      </w:r>
      <w:r>
        <w:rPr>
          <w:rFonts w:hint="eastAsia" w:ascii="仿宋_GB2312" w:hAnsi="仿宋" w:eastAsia="仿宋_GB2312" w:cs="宋体"/>
          <w:sz w:val="32"/>
          <w:szCs w:val="32"/>
        </w:rPr>
        <w:t>融入基层社会治理；扎实开展诉前调解、判后答疑工作，减少上诉案件、重复信访案件，真正实现服判息诉；坚持守正创新，全面深化智慧法院建设，完善“互联网+法院”模式，大力推行“云审判”“云调解”，加快网上诉讼、电子送达等平台的运用，推动司法服务更智能、更高效。</w:t>
      </w:r>
    </w:p>
    <w:p>
      <w:pPr>
        <w:pStyle w:val="15"/>
        <w:keepNext w:val="0"/>
        <w:keepLines w:val="0"/>
        <w:pageBreakBefore w:val="0"/>
        <w:widowControl w:val="0"/>
        <w:shd w:val="clear"/>
        <w:kinsoku/>
        <w:wordWrap/>
        <w:overflowPunct w:val="0"/>
        <w:topLinePunct w:val="0"/>
        <w:bidi w:val="0"/>
        <w:snapToGrid/>
        <w:spacing w:line="576" w:lineRule="exact"/>
        <w:ind w:firstLine="640" w:firstLineChars="200"/>
        <w:jc w:val="both"/>
        <w:textAlignment w:val="auto"/>
        <w:rPr>
          <w:rFonts w:hint="eastAsia" w:ascii="仿宋_GB2312" w:hAnsi="仿宋" w:eastAsia="仿宋_GB2312" w:cs="宋体"/>
          <w:sz w:val="32"/>
          <w:szCs w:val="32"/>
        </w:rPr>
      </w:pPr>
      <w:r>
        <w:rPr>
          <w:rFonts w:hint="eastAsia" w:ascii="楷体_GB2312" w:eastAsia="楷体_GB2312"/>
          <w:b w:val="0"/>
          <w:bCs w:val="0"/>
          <w:sz w:val="32"/>
          <w:szCs w:val="32"/>
          <w:lang w:val="en-US" w:eastAsia="zh-CN"/>
        </w:rPr>
        <w:t>4、</w:t>
      </w:r>
      <w:r>
        <w:rPr>
          <w:rFonts w:hint="eastAsia" w:ascii="楷体_GB2312" w:hAnsi="楷体_GB2312" w:eastAsia="楷体_GB2312" w:cs="楷体_GB2312"/>
          <w:bCs/>
          <w:color w:val="auto"/>
          <w:kern w:val="2"/>
          <w:sz w:val="32"/>
          <w:szCs w:val="32"/>
        </w:rPr>
        <w:t>厚植根基，一以贯之从严治院管人。</w:t>
      </w:r>
      <w:r>
        <w:rPr>
          <w:rFonts w:hint="eastAsia" w:ascii="仿宋_GB2312" w:hAnsi="仿宋" w:eastAsia="仿宋_GB2312" w:cs="宋体"/>
          <w:sz w:val="32"/>
          <w:szCs w:val="32"/>
        </w:rPr>
        <w:t>加强思想锤炼，创新教育培训模式，为干警创造更多锻炼机会，提高干警综合能力。加强法院文化建设，坚持严管厚爱，鼓励支持干警担当作为、争先创优，让队伍展现蓬勃、朝气的精神风貌；坚持注重自我革命，持之以恒正风肃纪，严格执行防止干预过问案件“三个规定”，集中整治“五个看不惯”，把党风廉政建设贯穿始终，打造让党放心、人民满意、忠诚干净担当的法院铁军。</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6113"/>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剑阁县人民法院属财政一级预算单位，下属二级预算单位0个，其中行政单位0个，参照公务员法管理的事业单位0个，其他事业单位0个。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23973"/>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剑阁县人民法院所有收入和支出均纳入部门预算管理。收入包括：一般公共预算拨款收入、其他收入；支出包括：公共安全支出、社会保障和就业支出、卫生健康支出、住房保障支出。剑阁县人民法院2024年收支预算总数1809.09万元，比2023年收支预算总数增加182.2万元，主要原因是其他收入和项目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2369"/>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剑阁县人民法院2024年收入预算1809.09万元，其中：一般公共预算拨款收入1749.09万元，占96.68%；其他收入60万元，占3.32%。</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2643"/>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sz w:val="32"/>
          <w:szCs w:val="32"/>
          <w:lang w:val="en-US" w:eastAsia="zh-CN"/>
        </w:rPr>
        <w:t>剑阁县人民法院2024年支出预算1809.09万元，其中：基本支出1433.68万元，占79.25%；项目支出375.41万元，占20.75%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21035"/>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剑阁县人民法院2024年财政拨款收支预算总数1749.09万元，比2023年财政拨款收支预算总数增加122.2万元，主要原因是项目资金增加。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收入包括：本年一般公共预算拨款收入1749.09万元；支出包括：公共安全支出1510.39万元、社会保障和就业支出104.14万元、卫生健康支出48.83万元、住房保障支出85.74万元。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5660"/>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32606"/>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剑阁县人民法院2024年一般公共预算当年拨款1749.09万元，比2023年预算数增加122.2万元，主要原因是项目资金增加。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7787"/>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公共安全支出1510.38万元，占86.35%；社会保障和就业支出104.14万元，占5.95%；卫生健康支出48.83万元，占2.8%；住房保障支出85.74万元，占4.9%。</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4506"/>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1.公共安全支出（类）法院（款）行政运行（项）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1318.51</w:t>
      </w:r>
      <w:r>
        <w:rPr>
          <w:rFonts w:hint="default" w:ascii="仿宋_GB2312" w:hAnsi="仿宋_GB2312" w:eastAsia="仿宋_GB2312" w:cs="仿宋_GB2312"/>
          <w:sz w:val="32"/>
          <w:szCs w:val="32"/>
          <w:lang w:val="en-US" w:eastAsia="zh-CN"/>
        </w:rPr>
        <w:t>万元，主要用于：法院机关正常运转的基本支出，包括基本工资、津贴补贴等人员经费和办公费、印刷费、水电费、差旅费等日常公用经费。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2.公共安全支出（类）法院（款）</w:t>
      </w:r>
      <w:r>
        <w:rPr>
          <w:rFonts w:hint="eastAsia" w:ascii="仿宋_GB2312" w:hAnsi="仿宋_GB2312" w:eastAsia="仿宋_GB2312" w:cs="仿宋_GB2312"/>
          <w:sz w:val="32"/>
          <w:szCs w:val="32"/>
          <w:lang w:val="en-US" w:eastAsia="zh-CN"/>
        </w:rPr>
        <w:t>一般行政管理事务</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64</w:t>
      </w:r>
      <w:r>
        <w:rPr>
          <w:rFonts w:hint="default" w:ascii="仿宋_GB2312" w:hAnsi="仿宋_GB2312" w:eastAsia="仿宋_GB2312" w:cs="仿宋_GB2312"/>
          <w:sz w:val="32"/>
          <w:szCs w:val="32"/>
          <w:lang w:val="en-US" w:eastAsia="zh-CN"/>
        </w:rPr>
        <w:t>万元，主要用于：法院机关及参公管理事业单位未单独设置项级科目的其他项目支出。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.公共安全支出（类）法院（款）</w:t>
      </w:r>
      <w:r>
        <w:rPr>
          <w:rFonts w:hint="eastAsia" w:ascii="仿宋_GB2312" w:hAnsi="仿宋_GB2312" w:eastAsia="仿宋_GB2312" w:cs="仿宋_GB2312"/>
          <w:sz w:val="32"/>
          <w:szCs w:val="32"/>
          <w:lang w:val="en-US" w:eastAsia="zh-CN"/>
        </w:rPr>
        <w:t>案件审判</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95.45</w:t>
      </w:r>
      <w:r>
        <w:rPr>
          <w:rFonts w:hint="default" w:ascii="仿宋_GB2312" w:hAnsi="仿宋_GB2312" w:eastAsia="仿宋_GB2312" w:cs="仿宋_GB2312"/>
          <w:sz w:val="32"/>
          <w:szCs w:val="32"/>
          <w:lang w:val="en-US" w:eastAsia="zh-CN"/>
        </w:rPr>
        <w:t>万元，主要用于：人民法院对刑事、民事、行政、涉外等案件审判活动的支出。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.公共安全支出（类）法院（款）事业运行（项）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32.42</w:t>
      </w:r>
      <w:r>
        <w:rPr>
          <w:rFonts w:hint="default" w:ascii="仿宋_GB2312" w:hAnsi="仿宋_GB2312" w:eastAsia="仿宋_GB2312" w:cs="仿宋_GB2312"/>
          <w:sz w:val="32"/>
          <w:szCs w:val="32"/>
          <w:lang w:val="en-US" w:eastAsia="zh-CN"/>
        </w:rPr>
        <w:t>万元，主要用于：法院机关事务中心正常运转的基本支出，包括基本工资、津贴补贴等人员经费和办公费、印刷费、水电费、差旅费等日常公用经费。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.社会保障和就业支出（类）行政事业单位养老支出（款）机关事业单位基本养老保险缴费支出（项）：202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102.98</w:t>
      </w:r>
      <w:r>
        <w:rPr>
          <w:rFonts w:hint="default" w:ascii="仿宋_GB2312" w:hAnsi="仿宋_GB2312" w:eastAsia="仿宋_GB2312" w:cs="仿宋_GB2312"/>
          <w:sz w:val="32"/>
          <w:szCs w:val="32"/>
          <w:lang w:val="en-US" w:eastAsia="zh-CN"/>
        </w:rPr>
        <w:t>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.社会保障和就业支出（类）其他社会保障和就业支出（款）其他社会保障和就业支出（项）：202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1.16</w:t>
      </w:r>
      <w:r>
        <w:rPr>
          <w:rFonts w:hint="default" w:ascii="仿宋_GB2312" w:hAnsi="仿宋_GB2312" w:eastAsia="仿宋_GB2312" w:cs="仿宋_GB2312"/>
          <w:sz w:val="32"/>
          <w:szCs w:val="32"/>
          <w:lang w:val="en-US" w:eastAsia="zh-CN"/>
        </w:rPr>
        <w:t>万元，主要用于：除上述项目以外其他用于社会保障和就业方面的支出。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.卫生健康支出（类）行政事业单位医疗（款）行政单位医疗（项）：202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48.83</w:t>
      </w:r>
      <w:r>
        <w:rPr>
          <w:rFonts w:hint="default" w:ascii="仿宋_GB2312" w:hAnsi="仿宋_GB2312" w:eastAsia="仿宋_GB2312" w:cs="仿宋_GB2312"/>
          <w:sz w:val="32"/>
          <w:szCs w:val="32"/>
          <w:lang w:val="en-US" w:eastAsia="zh-CN"/>
        </w:rPr>
        <w:t>万元，主要用于：机关及参公管理事业单位按规定由单位缴纳的基本医疗保险支出。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default" w:ascii="仿宋_GB2312" w:hAnsi="仿宋_GB2312" w:eastAsia="仿宋_GB2312" w:cs="仿宋_GB2312"/>
          <w:sz w:val="32"/>
          <w:szCs w:val="32"/>
          <w:lang w:val="en-US" w:eastAsia="zh-CN"/>
        </w:rPr>
        <w:t>.住房保障支出（类）住房改革支出（款）住房公积金（项）：202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年预算数为</w:t>
      </w:r>
      <w:r>
        <w:rPr>
          <w:rFonts w:hint="eastAsia" w:ascii="仿宋_GB2312" w:hAnsi="仿宋_GB2312" w:eastAsia="仿宋_GB2312" w:cs="仿宋_GB2312"/>
          <w:sz w:val="32"/>
          <w:szCs w:val="32"/>
          <w:lang w:val="en-US" w:eastAsia="zh-CN"/>
        </w:rPr>
        <w:t>85.74</w:t>
      </w:r>
      <w:r>
        <w:rPr>
          <w:rFonts w:hint="default" w:ascii="仿宋_GB2312" w:hAnsi="仿宋_GB2312" w:eastAsia="仿宋_GB2312" w:cs="仿宋_GB2312"/>
          <w:sz w:val="32"/>
          <w:szCs w:val="32"/>
          <w:lang w:val="en-US" w:eastAsia="zh-CN"/>
        </w:rPr>
        <w:t>万元，主要用于：</w:t>
      </w:r>
      <w:r>
        <w:rPr>
          <w:rFonts w:hint="eastAsia" w:ascii="仿宋_GB2312" w:hAnsi="仿宋_GB2312" w:eastAsia="仿宋_GB2312" w:cs="仿宋_GB2312"/>
          <w:sz w:val="32"/>
          <w:szCs w:val="32"/>
          <w:lang w:val="en-US" w:eastAsia="zh-CN"/>
        </w:rPr>
        <w:t>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6199"/>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剑阁县人民法院2024年一般公共预算基本支出1433.68万元，其中：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人员经费1216.22万元，主要包括：基本工资、津贴补贴、奖金、绩效工资、机关事业单位基本养老保险缴费、职工基本医疗保险缴费、其他社会保障缴费、住房公积金、其他工资福利支出、生活补助等支出。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217.45万元，主要包括：办公费、水费、电费、邮电费、物业管理费、差旅费、维修（护）费、会议费、培训费、公务接待费、劳务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6205"/>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剑阁县人民法院2024年“三公”经费财政拨款预算数48.8万元，其中：公务接待费4.8万元，公务用车购置及运行维护费44万元，因公出国（境）经费0万元。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560"/>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3049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单位现有公务用车19辆，其中：轿车13辆，旅行车（含商务车）4辆，越野车2辆。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2024年安排公务用车运行维护费44万元，用于19辆公务用车燃油、过路（桥）、维修、保险等方面支出，主要保障法院机关及派出法庭办公、办案、送达、执行等工作开展。</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2571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2024年部门预算未编列因公出国（境）经费。与2023年预算相比持平。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26932"/>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剑阁县人民法院2024年无政府性基金预算拨款安排的支出。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827"/>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剑阁县人民法院2024年无国有资本经营预算拨款安排的支出。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4754"/>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31875"/>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2024年，剑阁县人民法院机关运行经费财政拨款预算为217.45万元，比2023年预算减少7.61万元，下降3.38%。主要原因人员减少。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9745"/>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2024年，剑阁县人民法院安排政府采购预算210万元，其中：政府采购服务预算210万元。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30839"/>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截至2023年底，剑阁县人民法院共有车辆19辆，其中，执法执勤用车19辆。单位无价值200万元以上的大型设备。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17537"/>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2024年剑阁县人民法院开展绩效目标管理的项目13个，涉及预算1809.09万元。其中：人员类项目5个，涉及预算1216.22万元；运转类项目4个，涉及预算217.45万元；特定目标类项目4个，涉及预算375.41万元。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7759"/>
      <w:r>
        <w:rPr>
          <w:rFonts w:hint="eastAsia" w:ascii="黑体" w:hAnsi="黑体" w:eastAsia="黑体" w:cs="黑体"/>
          <w:sz w:val="32"/>
          <w:szCs w:val="32"/>
          <w:lang w:val="en-US" w:eastAsia="zh-CN"/>
        </w:rPr>
        <w:t>十一、名词解释</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sz w:val="32"/>
          <w:szCs w:val="32"/>
          <w:lang w:val="en-US" w:eastAsia="zh-CN"/>
        </w:rPr>
      </w:pPr>
      <w:bookmarkStart w:id="25" w:name="_Toc18370"/>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指除“财政拨款收入”以外的其他收入。</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（三）公共安全支出（类）法院（款）行政运行（项）：</w:t>
      </w:r>
      <w:r>
        <w:rPr>
          <w:rFonts w:hint="eastAsia" w:ascii="仿宋_GB2312" w:hAnsi="仿宋_GB2312" w:eastAsia="仿宋_GB2312" w:cs="仿宋_GB2312"/>
          <w:sz w:val="32"/>
          <w:szCs w:val="32"/>
          <w:lang w:val="en-US" w:eastAsia="zh-CN"/>
        </w:rPr>
        <w:t>指</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法院机关及参公管理事业单位用于保障机构正常运行、开展日常工作的基本支出</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（四）公共安全支出（类）法院（款）一般行政管理事务（项）：</w:t>
      </w:r>
      <w:r>
        <w:rPr>
          <w:rFonts w:hint="eastAsia" w:ascii="仿宋_GB2312" w:hAnsi="仿宋_GB2312" w:eastAsia="仿宋_GB2312" w:cs="仿宋_GB2312"/>
          <w:sz w:val="32"/>
          <w:szCs w:val="32"/>
          <w:lang w:val="en-US" w:eastAsia="zh-CN"/>
        </w:rPr>
        <w:t>指</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法院机关及参公管理事业单位未单独设置项级科目的其他项目支出</w:t>
      </w:r>
      <w:r>
        <w:rPr>
          <w:rFonts w:hint="eastAsia" w:ascii="仿宋_GB2312" w:hAnsi="仿宋_GB2312" w:eastAsia="仿宋_GB2312" w:cs="仿宋_GB2312"/>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（五）公共安全支出（类）法院（款）案件审判（项）：</w:t>
      </w:r>
      <w:r>
        <w:rPr>
          <w:rFonts w:hint="eastAsia" w:ascii="仿宋_GB2312" w:hAnsi="仿宋_GB2312" w:eastAsia="仿宋_GB2312" w:cs="仿宋_GB2312"/>
          <w:sz w:val="32"/>
          <w:szCs w:val="32"/>
          <w:lang w:val="en-US" w:eastAsia="zh-CN"/>
        </w:rPr>
        <w:t>指人民法院对刑事、民事、行政、涉外等案件审判活动的支出。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（六）公共安全支出（类）法院（款）事业运行（项）：</w:t>
      </w:r>
      <w:r>
        <w:rPr>
          <w:rFonts w:hint="eastAsia" w:ascii="仿宋_GB2312" w:hAnsi="仿宋_GB2312" w:eastAsia="仿宋_GB2312" w:cs="仿宋_GB2312"/>
          <w:sz w:val="32"/>
          <w:szCs w:val="32"/>
          <w:lang w:val="en-US" w:eastAsia="zh-CN"/>
        </w:rPr>
        <w:t>指事业单位的基本支出，不包括行政单位（包括实行公务员管理的事业单位）后勤服务中心、医务室等附属事业单位。</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（八）社会保障和就业（类）其他社会保障和就业支出（款）其他社会保障和就业支出（项）：</w:t>
      </w:r>
      <w:r>
        <w:rPr>
          <w:rFonts w:hint="eastAsia" w:ascii="仿宋_GB2312" w:hAnsi="仿宋_GB2312" w:eastAsia="仿宋_GB2312" w:cs="仿宋_GB2312"/>
          <w:sz w:val="32"/>
          <w:szCs w:val="32"/>
          <w:lang w:val="en-US" w:eastAsia="zh-CN"/>
        </w:rPr>
        <w:t>指反映除上述项目以外其他用于社会保障和就业方面的支出。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（十一）基本支出：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（十二）项目支出：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（十四）机关运行经费：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sz w:val="32"/>
          <w:szCs w:val="32"/>
          <w:lang w:val="en-US" w:eastAsia="zh-CN"/>
        </w:rPr>
        <w:t>附件：部门预算公开表</w:t>
      </w:r>
    </w:p>
    <w:sectPr>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11F0F2-C682-43DF-88A9-ADD8851C23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C88F2DCF-3662-4D01-B36A-D5C6AE74C59C}"/>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3" w:fontKey="{09BB2C2F-3B21-4133-8B1D-FA74BCCF4477}"/>
  </w:font>
  <w:font w:name="楷体_GB2312">
    <w:altName w:val="楷体"/>
    <w:panose1 w:val="02010609030101010101"/>
    <w:charset w:val="86"/>
    <w:family w:val="auto"/>
    <w:pitch w:val="default"/>
    <w:sig w:usb0="00000000" w:usb1="00000000" w:usb2="00000000" w:usb3="00000000" w:csb0="00040000" w:csb1="00000000"/>
    <w:embedRegular r:id="rId4" w:fontKey="{766FC3F2-6EAF-459A-BA8C-61D71631665D}"/>
  </w:font>
  <w:font w:name="MingLiU_HKSCS">
    <w:altName w:val="Microsoft JhengHei"/>
    <w:panose1 w:val="02020500000000000000"/>
    <w:charset w:val="88"/>
    <w:family w:val="roman"/>
    <w:pitch w:val="default"/>
    <w:sig w:usb0="00000000" w:usb1="00000000" w:usb2="00000016" w:usb3="00000000" w:csb0="00100001" w:csb1="00000000"/>
    <w:embedRegular r:id="rId5" w:fontKey="{D4B73688-A2DE-4587-AD6C-DF88525FE23A}"/>
  </w:font>
  <w:font w:name="仿宋">
    <w:panose1 w:val="02010609060101010101"/>
    <w:charset w:val="86"/>
    <w:family w:val="auto"/>
    <w:pitch w:val="default"/>
    <w:sig w:usb0="800002BF" w:usb1="38CF7CFA" w:usb2="00000016" w:usb3="00000000" w:csb0="00040001" w:csb1="00000000"/>
    <w:embedRegular r:id="rId6" w:fontKey="{562B5549-5476-4544-8C95-F26543910D3D}"/>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19721C9"/>
    <w:rsid w:val="07B07FF7"/>
    <w:rsid w:val="08782E38"/>
    <w:rsid w:val="09A03D20"/>
    <w:rsid w:val="0A712CED"/>
    <w:rsid w:val="0BE0651E"/>
    <w:rsid w:val="0FC138CB"/>
    <w:rsid w:val="102C0741"/>
    <w:rsid w:val="11CE3330"/>
    <w:rsid w:val="17941CC6"/>
    <w:rsid w:val="19116C2E"/>
    <w:rsid w:val="1C75138B"/>
    <w:rsid w:val="1DDF0276"/>
    <w:rsid w:val="1E200B7C"/>
    <w:rsid w:val="1F7BF06F"/>
    <w:rsid w:val="1FDF3BE5"/>
    <w:rsid w:val="1FEE4B73"/>
    <w:rsid w:val="200B6261"/>
    <w:rsid w:val="23473B00"/>
    <w:rsid w:val="23CE9849"/>
    <w:rsid w:val="2C0B5762"/>
    <w:rsid w:val="2CAB2132"/>
    <w:rsid w:val="2DB54C4E"/>
    <w:rsid w:val="32700417"/>
    <w:rsid w:val="39F304DD"/>
    <w:rsid w:val="3DFB0BB4"/>
    <w:rsid w:val="3F5419DD"/>
    <w:rsid w:val="3F65480B"/>
    <w:rsid w:val="3F8141E5"/>
    <w:rsid w:val="3FFB07BE"/>
    <w:rsid w:val="41377936"/>
    <w:rsid w:val="41EB5A0E"/>
    <w:rsid w:val="423D341C"/>
    <w:rsid w:val="448B39E3"/>
    <w:rsid w:val="46A32ABD"/>
    <w:rsid w:val="46CA2880"/>
    <w:rsid w:val="47635636"/>
    <w:rsid w:val="48D83290"/>
    <w:rsid w:val="48EF2214"/>
    <w:rsid w:val="4D0A6D5F"/>
    <w:rsid w:val="4ED55B31"/>
    <w:rsid w:val="4EDDC789"/>
    <w:rsid w:val="5059145E"/>
    <w:rsid w:val="521359A8"/>
    <w:rsid w:val="53E44E6A"/>
    <w:rsid w:val="54244390"/>
    <w:rsid w:val="54490E13"/>
    <w:rsid w:val="54662A63"/>
    <w:rsid w:val="58064E12"/>
    <w:rsid w:val="584329BC"/>
    <w:rsid w:val="5B4733BC"/>
    <w:rsid w:val="5BFEE015"/>
    <w:rsid w:val="5C2A1761"/>
    <w:rsid w:val="5E642073"/>
    <w:rsid w:val="5F747EE7"/>
    <w:rsid w:val="62013E98"/>
    <w:rsid w:val="63074188"/>
    <w:rsid w:val="63EDCF55"/>
    <w:rsid w:val="63FBFBCF"/>
    <w:rsid w:val="642C332B"/>
    <w:rsid w:val="662D4207"/>
    <w:rsid w:val="669360FD"/>
    <w:rsid w:val="68FF6A83"/>
    <w:rsid w:val="6A1B5889"/>
    <w:rsid w:val="6AE35C6F"/>
    <w:rsid w:val="6B2132D4"/>
    <w:rsid w:val="6FBBC9CF"/>
    <w:rsid w:val="6FDB5B3E"/>
    <w:rsid w:val="72BDE561"/>
    <w:rsid w:val="76351917"/>
    <w:rsid w:val="78462278"/>
    <w:rsid w:val="78E53311"/>
    <w:rsid w:val="791753E3"/>
    <w:rsid w:val="7997EA6C"/>
    <w:rsid w:val="79F55442"/>
    <w:rsid w:val="7AEAE675"/>
    <w:rsid w:val="7BAFCE5D"/>
    <w:rsid w:val="7D46598C"/>
    <w:rsid w:val="7DFB240B"/>
    <w:rsid w:val="7E0935ED"/>
    <w:rsid w:val="7F3A4282"/>
    <w:rsid w:val="7FA47748"/>
    <w:rsid w:val="7FA9C8CA"/>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DFB3B7E"/>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Body Text Indent"/>
    <w:basedOn w:val="1"/>
    <w:qFormat/>
    <w:uiPriority w:val="0"/>
    <w:pPr>
      <w:ind w:firstLine="640" w:firstLineChars="200"/>
    </w:pPr>
    <w:rPr>
      <w:rFonts w:ascii="仿宋_GB2312" w:eastAsia="仿宋_GB2312"/>
      <w:sz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3"/>
    <w:autoRedefine/>
    <w:qFormat/>
    <w:uiPriority w:val="0"/>
  </w:style>
  <w:style w:type="paragraph" w:styleId="8">
    <w:name w:val="Normal (Web)"/>
    <w:basedOn w:val="1"/>
    <w:autoRedefine/>
    <w:qFormat/>
    <w:uiPriority w:val="0"/>
    <w:rPr>
      <w:sz w:val="24"/>
    </w:rPr>
  </w:style>
  <w:style w:type="paragraph" w:styleId="9">
    <w:name w:val="Body Text First Indent 2"/>
    <w:basedOn w:val="4"/>
    <w:autoRedefine/>
    <w:qFormat/>
    <w:uiPriority w:val="99"/>
    <w:pPr>
      <w:spacing w:after="0"/>
      <w:ind w:firstLine="420" w:firstLineChars="200"/>
    </w:pPr>
    <w:rPr>
      <w:rFonts w:ascii="Times New Roman" w:hAnsi="Times New Roman"/>
      <w:szCs w:val="21"/>
    </w:rPr>
  </w:style>
  <w:style w:type="character" w:customStyle="1" w:styleId="12">
    <w:name w:val="默认段落字体1"/>
    <w:autoRedefine/>
    <w:qFormat/>
    <w:uiPriority w:val="0"/>
  </w:style>
  <w:style w:type="paragraph" w:customStyle="1" w:styleId="13">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16">
    <w:name w:val="WPSOffice手动目录 1"/>
    <w:uiPriority w:val="0"/>
    <w:pPr>
      <w:ind w:leftChars="0"/>
    </w:pPr>
    <w:rPr>
      <w:sz w:val="20"/>
      <w:szCs w:val="20"/>
    </w:rPr>
  </w:style>
  <w:style w:type="paragraph" w:customStyle="1" w:styleId="17">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玖千余为春秋</cp:lastModifiedBy>
  <dcterms:modified xsi:type="dcterms:W3CDTF">2024-02-02T15:12:38Z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0CEC5D6709EA48C582F5D79EF4F5B745_13</vt:lpwstr>
  </property>
</Properties>
</file>